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84" w:rsidRPr="007822C9" w:rsidRDefault="00A11484" w:rsidP="007822C9">
      <w:pPr>
        <w:spacing w:after="0" w:line="240" w:lineRule="auto"/>
        <w:ind w:left="3719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5pt;margin-top:14.95pt;width:80pt;height:12pt;z-index:251658240;mso-wrap-style:tight;mso-position-horizontal-relative:page;mso-position-vertical-relative:page" stroked="f">
            <v:textbox inset="7.09pt,.75pt,7.09pt,.75pt">
              <w:txbxContent>
                <w:p w:rsidR="00A11484" w:rsidRPr="008F1287" w:rsidRDefault="00A11484">
                  <w:pPr>
                    <w:rPr>
                      <w:sz w:val="14"/>
                    </w:rPr>
                  </w:pPr>
                  <w:bookmarkStart w:id="0" w:name="_GoBack"/>
                  <w:bookmarkEnd w:id="0"/>
                  <w:r>
                    <w:rPr>
                      <w:sz w:val="14"/>
                    </w:rPr>
                    <w:t>ЭП вх. 16.05.17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27" type="#_x0000_t202" style="position:absolute;left:0;text-align:left;margin-left:31.05pt;margin-top:14.95pt;width:300pt;height:12pt;z-index:251657216;mso-wrap-style:tight;mso-position-horizontal-relative:page;mso-position-vertical-relative:page" stroked="f" strokeweight=".85pt">
            <v:textbox inset="7.09pt,.85pt,7.09pt,.85pt">
              <w:txbxContent>
                <w:p w:rsidR="00A11484" w:rsidRPr="008F1287" w:rsidRDefault="00A11484">
                  <w:pPr>
                    <w:rPr>
                      <w:sz w:val="14"/>
                    </w:rPr>
                  </w:pPr>
                  <w:fldSimple w:instr=" FILENAME  \* MERGEFORMAT ">
                    <w:r>
                      <w:rPr>
                        <w:noProof/>
                        <w:sz w:val="14"/>
                      </w:rPr>
                      <w:t>круглый стол по курению.docx</w:t>
                    </w:r>
                  </w:fldSimple>
                </w:p>
              </w:txbxContent>
            </v:textbox>
            <w10:wrap anchorx="page" anchory="page"/>
            <w10:anchorlock/>
          </v:shape>
        </w:pict>
      </w:r>
      <w:r w:rsidRPr="007822C9">
        <w:rPr>
          <w:rFonts w:ascii="Times New Roman" w:hAnsi="Times New Roman"/>
          <w:b/>
          <w:bCs/>
          <w:spacing w:val="30"/>
          <w:sz w:val="26"/>
          <w:szCs w:val="26"/>
        </w:rPr>
        <w:t>РЕКОМЕНДАЦИИ</w:t>
      </w:r>
    </w:p>
    <w:p w:rsidR="00A11484" w:rsidRPr="007822C9" w:rsidRDefault="00A11484" w:rsidP="007822C9">
      <w:pPr>
        <w:spacing w:after="0" w:line="240" w:lineRule="auto"/>
        <w:ind w:left="939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«круглого стола» Комитета Государственной Думы по охране здоровья</w:t>
      </w:r>
    </w:p>
    <w:p w:rsidR="00A11484" w:rsidRPr="007822C9" w:rsidRDefault="00A11484" w:rsidP="007822C9">
      <w:pPr>
        <w:spacing w:after="0" w:line="240" w:lineRule="auto"/>
        <w:ind w:left="4630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на тему:</w:t>
      </w:r>
    </w:p>
    <w:p w:rsidR="00A11484" w:rsidRPr="007822C9" w:rsidRDefault="00A11484" w:rsidP="007822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b/>
          <w:bCs/>
          <w:sz w:val="26"/>
          <w:szCs w:val="26"/>
        </w:rPr>
        <w:t>«Законодательные аспекты разработки и реализации Концепции осуществления государственной политики противодействия потреблению табака на 2017-2022 годы и дальнейшую перспективу»</w:t>
      </w:r>
    </w:p>
    <w:p w:rsidR="00A11484" w:rsidRPr="007822C9" w:rsidRDefault="00A11484" w:rsidP="007822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484" w:rsidRPr="007822C9" w:rsidRDefault="00A11484" w:rsidP="007822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484" w:rsidRPr="007822C9" w:rsidRDefault="00A11484" w:rsidP="007822C9">
      <w:pPr>
        <w:tabs>
          <w:tab w:val="left" w:pos="656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b/>
          <w:bCs/>
          <w:sz w:val="26"/>
          <w:szCs w:val="26"/>
        </w:rPr>
        <w:t>Москва, Георгиевский пер, д.2</w:t>
      </w:r>
      <w:r w:rsidRPr="007822C9">
        <w:rPr>
          <w:rFonts w:ascii="Times New Roman" w:hAnsi="Times New Roman"/>
          <w:b/>
          <w:bCs/>
          <w:sz w:val="26"/>
          <w:szCs w:val="26"/>
        </w:rPr>
        <w:tab/>
        <w:t>9 марта 2017 года</w:t>
      </w:r>
    </w:p>
    <w:p w:rsidR="00A11484" w:rsidRPr="007822C9" w:rsidRDefault="00A11484" w:rsidP="007822C9">
      <w:pPr>
        <w:tabs>
          <w:tab w:val="left" w:pos="65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b/>
          <w:bCs/>
          <w:sz w:val="26"/>
          <w:szCs w:val="26"/>
        </w:rPr>
        <w:t>Зал 830</w:t>
      </w:r>
      <w:r w:rsidRPr="007822C9">
        <w:rPr>
          <w:rFonts w:ascii="Times New Roman" w:hAnsi="Times New Roman"/>
          <w:b/>
          <w:bCs/>
          <w:sz w:val="26"/>
          <w:szCs w:val="26"/>
        </w:rPr>
        <w:tab/>
        <w:t>15:00</w:t>
      </w:r>
    </w:p>
    <w:p w:rsidR="00A11484" w:rsidRPr="007822C9" w:rsidRDefault="00A11484" w:rsidP="007822C9">
      <w:pPr>
        <w:spacing w:after="0" w:line="240" w:lineRule="auto"/>
        <w:ind w:firstLine="672"/>
        <w:jc w:val="both"/>
        <w:rPr>
          <w:rFonts w:ascii="Times New Roman" w:hAnsi="Times New Roman"/>
          <w:sz w:val="20"/>
          <w:szCs w:val="20"/>
        </w:rPr>
      </w:pPr>
    </w:p>
    <w:p w:rsidR="00A11484" w:rsidRPr="007822C9" w:rsidRDefault="00A11484" w:rsidP="007822C9">
      <w:pPr>
        <w:spacing w:after="0" w:line="240" w:lineRule="auto"/>
        <w:ind w:firstLine="672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Потребление табака, являясь одной из ведущих предотвратимых причин смерти (около 10 % смертей обусловлено потреблением табачной продукцией) и инвалидности в мире, несет негативные демографические и социально-экономические последствия и представляет угрозу для здоровья граждан Российской Федерации.</w:t>
      </w:r>
    </w:p>
    <w:p w:rsidR="00A11484" w:rsidRPr="007822C9" w:rsidRDefault="00A11484" w:rsidP="007822C9">
      <w:pPr>
        <w:spacing w:after="0" w:line="240" w:lineRule="auto"/>
        <w:ind w:firstLine="672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Употребление табака вызывает более пяти миллионов смертей в год среди взрослого населения по всему миру. По прогнозам Всемирной организации здравоохранения к 2030 году ежегодная смертность от курения возрастет до 8 млн. случаев в год, при этом более 80 % из них придется на страны с низким и средним уровнем дохода. Многочисленные эпидемиологические и лабораторные исследования представили научные доказательства о связи курения с развитием заболеваний практически каждой патофизиологической системы организма человека и увеличением инвалидности.</w:t>
      </w:r>
    </w:p>
    <w:p w:rsidR="00A11484" w:rsidRPr="007822C9" w:rsidRDefault="00A11484" w:rsidP="007822C9">
      <w:pPr>
        <w:spacing w:after="0" w:line="240" w:lineRule="auto"/>
        <w:ind w:firstLine="68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С целью создания условий для защиты здоровья граждан от последствий потребления табака и воздействия табачного дыма в 2010 году Правительством Российской Федерации была утверждена Концепция осуществления государственной политики противодействия потреблению табака на 2010-2015 годы, а также был разработан и принят Федеральный закон от 23.02.2013 № 15-ФЗ «Об охране здоровья граждан от воздействия окружающего табачного дыма и последствий потребления табака».</w:t>
      </w:r>
    </w:p>
    <w:p w:rsidR="00A11484" w:rsidRPr="007822C9" w:rsidRDefault="00A11484" w:rsidP="007822C9">
      <w:pPr>
        <w:spacing w:after="0" w:line="240" w:lineRule="auto"/>
        <w:ind w:firstLine="672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Для оценки эффективности принятых мер Национальным НИИ общественного здоровья имени Н.А. Семашко совместно с Всероссийским центром изучения общественного мнения (ВЦИОМ) было проведено три волны массового опроса населения России «Изучение факторов риска для здоровья человека» за период 2014-2016 годы. Результаты проведенного исследования показали:</w:t>
      </w:r>
    </w:p>
    <w:p w:rsidR="00A11484" w:rsidRPr="007822C9" w:rsidRDefault="00A11484" w:rsidP="007822C9">
      <w:pPr>
        <w:numPr>
          <w:ilvl w:val="0"/>
          <w:numId w:val="1"/>
        </w:numPr>
        <w:tabs>
          <w:tab w:val="left" w:pos="958"/>
        </w:tabs>
        <w:spacing w:after="0" w:line="240" w:lineRule="auto"/>
        <w:ind w:firstLine="68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Наибольшее число постоянных курильщиков среди мужчин и лиц в возрасте от 21 до 50 лет.</w:t>
      </w:r>
    </w:p>
    <w:p w:rsidR="00A11484" w:rsidRPr="007822C9" w:rsidRDefault="00A11484" w:rsidP="007822C9">
      <w:pPr>
        <w:numPr>
          <w:ilvl w:val="0"/>
          <w:numId w:val="1"/>
        </w:numPr>
        <w:tabs>
          <w:tab w:val="left" w:pos="958"/>
        </w:tabs>
        <w:spacing w:after="0" w:line="240" w:lineRule="auto"/>
        <w:ind w:firstLine="68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Среди некурящей категории граждан каждый пятый (20 %) имеет опыт потребления табачных изделий в прошлом (подавляющее число из которых являлись ежедневными курильщиками - 83 %). В выборке бывших курильщиков наибольшая доля респондентов (61 %) приходится на тех, кто отказался от этой привычки более 5 лет назад. За последний год перестали курить порядка 10 % от опрошенных.</w:t>
      </w:r>
    </w:p>
    <w:p w:rsidR="00A11484" w:rsidRPr="007822C9" w:rsidRDefault="00A11484" w:rsidP="007822C9">
      <w:pPr>
        <w:numPr>
          <w:ilvl w:val="0"/>
          <w:numId w:val="1"/>
        </w:numPr>
        <w:tabs>
          <w:tab w:val="left" w:pos="958"/>
        </w:tabs>
        <w:spacing w:after="0" w:line="240" w:lineRule="auto"/>
        <w:ind w:firstLine="68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Каждый второй опрошенный курильщик попробовал первую сигарету в возрасте от 15 до 20 лет, при этом каждый пятый - до 14 лет.</w:t>
      </w:r>
    </w:p>
    <w:p w:rsidR="00A11484" w:rsidRPr="007822C9" w:rsidRDefault="00A11484" w:rsidP="007822C9">
      <w:pPr>
        <w:numPr>
          <w:ilvl w:val="0"/>
          <w:numId w:val="1"/>
        </w:numPr>
        <w:tabs>
          <w:tab w:val="left" w:pos="958"/>
        </w:tabs>
        <w:spacing w:after="0" w:line="240" w:lineRule="auto"/>
        <w:ind w:firstLine="68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Самые распространенные причины начала табакокурения - влияние ближайшего окружения (63 %), стрессы (20 %).</w:t>
      </w:r>
    </w:p>
    <w:p w:rsidR="00A11484" w:rsidRPr="007822C9" w:rsidRDefault="00A11484" w:rsidP="007822C9">
      <w:pPr>
        <w:spacing w:after="0" w:line="240" w:lineRule="auto"/>
        <w:ind w:firstLine="672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В 2009 году в России было проведено первое и единственное исследование по оценке экономических потерь государства от курения табака. В ходе исследования были рассчитаны как прямые затраты на стационарное и амбулаторное лечение заболеваний, вызванных курением, так и непрямые затраты, связанные со смертностью, ущербом от пожаров, снижением производительности труда и т.п. Полученные результаты показали, что ущерб, нанесенный государству активным курением, составил в 2009 году 7 % ВВП страны или 2 700 млрд. руб., ущерб от пассивного курения достиг 1,7 % ВВП или 444,3 млрд. руб. Однако за последние 8 лет такие исследования не проводились и в настоящее время оценить экономический ущерб государства от потребления табака нельзя.</w:t>
      </w:r>
    </w:p>
    <w:p w:rsidR="00A11484" w:rsidRPr="007822C9" w:rsidRDefault="00A11484" w:rsidP="007822C9">
      <w:pPr>
        <w:spacing w:after="0" w:line="240" w:lineRule="auto"/>
        <w:ind w:firstLine="67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По данным Министерства здравоохранения Российской Федерации в результате принятых мер распространенность потребления табака среди взрослого населения снизилось на 6 %, а распространенность табакокурения среди подростков снизилась на 10 %.</w:t>
      </w:r>
    </w:p>
    <w:p w:rsidR="00A11484" w:rsidRPr="007822C9" w:rsidRDefault="00A11484" w:rsidP="007822C9">
      <w:pPr>
        <w:spacing w:after="0" w:line="240" w:lineRule="auto"/>
        <w:ind w:firstLine="67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Тем не менее, показатели распространенности потребления табака очень высоки. В связи с этим, разработка дальнейших мер, направленных на охрану здоровья граждан от воздействия окружающего табачного дыма и последствий потребления табака является логическим продолжением предыдущего этапа.</w:t>
      </w:r>
    </w:p>
    <w:p w:rsidR="00A11484" w:rsidRPr="007822C9" w:rsidRDefault="00A11484" w:rsidP="007822C9">
      <w:pPr>
        <w:spacing w:after="0" w:line="240" w:lineRule="auto"/>
        <w:ind w:firstLine="672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Проект Концепции осуществления государственной политики противодействия потреблению табака на 2017-2022 годы и дальнейшую перспективу (далее - проект Концепции) предусматривает снижение распространенности потребления табака среди населения до 25 % населения к 2022 году и создание условий для ее дальнейшего снижения.</w:t>
      </w:r>
    </w:p>
    <w:p w:rsidR="00A11484" w:rsidRPr="007822C9" w:rsidRDefault="00A11484" w:rsidP="007822C9">
      <w:pPr>
        <w:spacing w:after="0" w:line="240" w:lineRule="auto"/>
        <w:ind w:firstLine="68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Достичь указанной цели предлагается за счет: снижения распространенности потребления табака на 5-8 %, недопущение его потребления детьми, подростками и беременными женщинами; поэтапного увеличения налогов (акцизов) на табачные изделия; профилактики распространения новых форм и видов изделий, имитирующих табакокурение и потребляемых путем вдыхания аэрозоля или пара; повышения осведомленности граждан о рисках для здоровья, связанных с потреблением табака, а также создания условий, при которых доступ к табачной продукции для граждан родившихся после 2015 года будет недоступен на протяжении всей их жизни. Однако возможность достижения последнего целевого ориентира практически у всех экспертов вызывает сомнение.</w:t>
      </w:r>
    </w:p>
    <w:p w:rsidR="00A11484" w:rsidRPr="007822C9" w:rsidRDefault="00A11484" w:rsidP="007822C9">
      <w:pPr>
        <w:spacing w:after="0" w:line="240" w:lineRule="auto"/>
        <w:ind w:firstLine="672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Участники заседания «круглого стола» отметили особую важность следующих мер, предусмотренных концепцией:</w:t>
      </w:r>
    </w:p>
    <w:p w:rsidR="00A11484" w:rsidRPr="007822C9" w:rsidRDefault="00A11484" w:rsidP="007822C9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701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Просвещение и информирование населения о вреде курения.</w:t>
      </w:r>
    </w:p>
    <w:p w:rsidR="00A11484" w:rsidRPr="007822C9" w:rsidRDefault="00A11484" w:rsidP="007822C9">
      <w:pPr>
        <w:numPr>
          <w:ilvl w:val="0"/>
          <w:numId w:val="2"/>
        </w:numPr>
        <w:tabs>
          <w:tab w:val="left" w:pos="949"/>
        </w:tabs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Поэтапное повышение ставок акцизов на табачные изделия до среднего уро</w:t>
      </w:r>
      <w:r>
        <w:rPr>
          <w:rFonts w:ascii="Times New Roman" w:hAnsi="Times New Roman"/>
          <w:sz w:val="26"/>
          <w:szCs w:val="26"/>
        </w:rPr>
        <w:t>вня налогообло</w:t>
      </w:r>
      <w:r w:rsidRPr="007822C9">
        <w:rPr>
          <w:rFonts w:ascii="Times New Roman" w:hAnsi="Times New Roman"/>
          <w:sz w:val="26"/>
          <w:szCs w:val="26"/>
        </w:rPr>
        <w:t>жения среди стран Европейского региона.</w:t>
      </w:r>
    </w:p>
    <w:p w:rsidR="00A11484" w:rsidRPr="007822C9" w:rsidRDefault="00A11484" w:rsidP="007822C9">
      <w:pPr>
        <w:numPr>
          <w:ilvl w:val="0"/>
          <w:numId w:val="2"/>
        </w:numPr>
        <w:tabs>
          <w:tab w:val="left" w:pos="977"/>
        </w:tabs>
        <w:spacing w:after="0" w:line="240" w:lineRule="auto"/>
        <w:ind w:firstLine="68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Методическое обеспечение контроля состава табачных изделий, с целью установления причинно-следственных связей между потреблением табака и связанных с этим заболеваний, определения достоверности предоставляемой информации табачными организациями, в том числе содержащейся в отчете о составе табачных изделий и выделяемых ими веществах, а также дополнительные требования к количественному содержанию веществ, содержащихся в табачных изделиях, или внесение изменений в уже установленные нормативы.</w:t>
      </w:r>
    </w:p>
    <w:p w:rsidR="00A11484" w:rsidRPr="007822C9" w:rsidRDefault="00A11484" w:rsidP="007822C9">
      <w:pPr>
        <w:numPr>
          <w:ilvl w:val="0"/>
          <w:numId w:val="2"/>
        </w:numPr>
        <w:tabs>
          <w:tab w:val="left" w:pos="977"/>
        </w:tabs>
        <w:spacing w:after="0" w:line="240" w:lineRule="auto"/>
        <w:ind w:firstLine="68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Запрет использования в организациях общественного питания изделий, которые используются для вдыхания продуктов горения, нагревания или испарения табака, а также вдыхания различных смесей (в том числе кальянов).</w:t>
      </w:r>
    </w:p>
    <w:p w:rsidR="00A11484" w:rsidRPr="007822C9" w:rsidRDefault="00A11484" w:rsidP="007822C9">
      <w:pPr>
        <w:numPr>
          <w:ilvl w:val="0"/>
          <w:numId w:val="2"/>
        </w:numPr>
        <w:tabs>
          <w:tab w:val="left" w:pos="977"/>
        </w:tabs>
        <w:spacing w:after="0" w:line="240" w:lineRule="auto"/>
        <w:ind w:firstLine="68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Осуществление регулирования производства, обращения, продвижения и мест потребления электронных средств доставки никотина, не являющихся лекарственными средствами, в том числе запрет продажи их несовершеннолетним, запрет выкладки и рекламы таких изделий, ограничение их потребления и продажи в местах, где запрещены курение табака и розничная торговля табачными изделиями и табачной продукцией.</w:t>
      </w:r>
    </w:p>
    <w:p w:rsidR="00A11484" w:rsidRPr="007822C9" w:rsidRDefault="00A11484" w:rsidP="007822C9">
      <w:pPr>
        <w:numPr>
          <w:ilvl w:val="0"/>
          <w:numId w:val="2"/>
        </w:numPr>
        <w:tabs>
          <w:tab w:val="left" w:pos="1082"/>
        </w:tabs>
        <w:spacing w:after="0" w:line="240" w:lineRule="auto"/>
        <w:ind w:firstLine="691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Осуществление надлежащего контроля (надзора) за соблюдением требований, предусмотренных законодательством Российской Федерации в целях предотвращения воздействия окружающего табачного дыма на здоровье человека.</w:t>
      </w:r>
    </w:p>
    <w:p w:rsidR="00A11484" w:rsidRPr="007822C9" w:rsidRDefault="00A11484" w:rsidP="007822C9">
      <w:pPr>
        <w:numPr>
          <w:ilvl w:val="0"/>
          <w:numId w:val="2"/>
        </w:numPr>
        <w:tabs>
          <w:tab w:val="left" w:pos="1082"/>
        </w:tabs>
        <w:spacing w:after="0" w:line="240" w:lineRule="auto"/>
        <w:ind w:firstLine="691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Усиление контроля за исполнением запрета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табака.</w:t>
      </w:r>
    </w:p>
    <w:p w:rsidR="00A11484" w:rsidRPr="007822C9" w:rsidRDefault="00A11484" w:rsidP="007822C9">
      <w:pPr>
        <w:numPr>
          <w:ilvl w:val="0"/>
          <w:numId w:val="2"/>
        </w:numPr>
        <w:tabs>
          <w:tab w:val="left" w:pos="973"/>
        </w:tabs>
        <w:spacing w:after="0" w:line="240" w:lineRule="auto"/>
        <w:ind w:firstLine="691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Усиление ответственности за несоблюдение ограничений и нарушение запретов в сфере торговли табачной продукцией и табачными изделиями.</w:t>
      </w:r>
    </w:p>
    <w:p w:rsidR="00A11484" w:rsidRPr="007822C9" w:rsidRDefault="00A11484" w:rsidP="007822C9">
      <w:pPr>
        <w:numPr>
          <w:ilvl w:val="0"/>
          <w:numId w:val="2"/>
        </w:numPr>
        <w:tabs>
          <w:tab w:val="left" w:pos="973"/>
        </w:tabs>
        <w:spacing w:after="0" w:line="240" w:lineRule="auto"/>
        <w:ind w:firstLine="691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Разработка и включение в образовательные стандарты и программы медицинских средних специальных и высших учебных заведений разделов, включающих сведения о влиянии потребления табака на здоровье человека и эффективных методах оказании медицинской помощи, направленной на отказ от потребления табака.</w:t>
      </w:r>
    </w:p>
    <w:p w:rsidR="00A11484" w:rsidRPr="007822C9" w:rsidRDefault="00A11484" w:rsidP="007822C9">
      <w:pPr>
        <w:numPr>
          <w:ilvl w:val="0"/>
          <w:numId w:val="3"/>
        </w:numPr>
        <w:tabs>
          <w:tab w:val="left" w:pos="1259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Обеспечение маркировки табачных изделий, исключающих ее подделку.</w:t>
      </w:r>
    </w:p>
    <w:p w:rsidR="00A11484" w:rsidRPr="007822C9" w:rsidRDefault="00A11484" w:rsidP="007822C9">
      <w:pPr>
        <w:numPr>
          <w:ilvl w:val="0"/>
          <w:numId w:val="3"/>
        </w:numPr>
        <w:tabs>
          <w:tab w:val="left" w:pos="1130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Повышение ответственности за нелегальное производство табачных изделий, их контрабанду и незаконную торговлю табачными изделиями.</w:t>
      </w:r>
    </w:p>
    <w:p w:rsidR="00A11484" w:rsidRPr="007822C9" w:rsidRDefault="00A11484" w:rsidP="007822C9">
      <w:pPr>
        <w:spacing w:after="0" w:line="240" w:lineRule="auto"/>
        <w:ind w:firstLine="67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 xml:space="preserve">Заслушав доклады и выступления депутатов Государственной Думы, представителей министерств и ведомств, органов законодательной и исполнительной власти субъектов Российской Федерации, общественных организаций, ведущих специалистов в сфере охраны здоровья участники заседания «круглого стола» </w:t>
      </w:r>
      <w:r w:rsidRPr="007822C9">
        <w:rPr>
          <w:rFonts w:ascii="Times New Roman" w:hAnsi="Times New Roman"/>
          <w:b/>
          <w:bCs/>
          <w:sz w:val="26"/>
          <w:szCs w:val="26"/>
        </w:rPr>
        <w:t>рекомендуют:</w:t>
      </w:r>
    </w:p>
    <w:p w:rsidR="00A11484" w:rsidRPr="007822C9" w:rsidRDefault="00A11484" w:rsidP="007822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484" w:rsidRPr="007822C9" w:rsidRDefault="00A11484" w:rsidP="007822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b/>
          <w:bCs/>
          <w:sz w:val="26"/>
          <w:szCs w:val="26"/>
        </w:rPr>
        <w:t>Министерству здравоохранения Российской Федерации:</w:t>
      </w:r>
    </w:p>
    <w:p w:rsidR="00A11484" w:rsidRPr="007822C9" w:rsidRDefault="00A11484" w:rsidP="007822C9">
      <w:pPr>
        <w:spacing w:after="0" w:line="240" w:lineRule="auto"/>
        <w:ind w:firstLine="672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При доработке проекта Концепции осуществления государственной политики противодействия потреблению табака на 2017-2022 годы и дальнейшую перспективу учесть следующие предложения:</w:t>
      </w:r>
    </w:p>
    <w:p w:rsidR="00A11484" w:rsidRPr="007822C9" w:rsidRDefault="00A11484" w:rsidP="007822C9">
      <w:pPr>
        <w:numPr>
          <w:ilvl w:val="0"/>
          <w:numId w:val="4"/>
        </w:numPr>
        <w:tabs>
          <w:tab w:val="left" w:pos="1011"/>
        </w:tabs>
        <w:spacing w:after="0" w:line="240" w:lineRule="auto"/>
        <w:ind w:firstLine="68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С целью профилактики табакокурения среди детей и подростков включить в общеобразовательную программу начальной школы вопросы, касающиеся негативного воздействия на организм человека табака, бестабачных курительных смесей и электронных систем доставки никотина.</w:t>
      </w:r>
    </w:p>
    <w:p w:rsidR="00A11484" w:rsidRPr="007822C9" w:rsidRDefault="00A11484" w:rsidP="007822C9">
      <w:pPr>
        <w:numPr>
          <w:ilvl w:val="0"/>
          <w:numId w:val="4"/>
        </w:numPr>
        <w:tabs>
          <w:tab w:val="left" w:pos="1011"/>
        </w:tabs>
        <w:spacing w:after="0" w:line="240" w:lineRule="auto"/>
        <w:ind w:firstLine="68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Предусмотреть обязанность производителей табачных изделий, бестабачных курительных смесей, а также электронных систем доставки никотина и жидкостей к ним раскрывать полную информацию о составе производимой продукции.</w:t>
      </w:r>
    </w:p>
    <w:p w:rsidR="00A11484" w:rsidRPr="007822C9" w:rsidRDefault="00A11484" w:rsidP="007822C9">
      <w:pPr>
        <w:numPr>
          <w:ilvl w:val="0"/>
          <w:numId w:val="4"/>
        </w:numPr>
        <w:tabs>
          <w:tab w:val="left" w:pos="1011"/>
        </w:tabs>
        <w:spacing w:after="0" w:line="240" w:lineRule="auto"/>
        <w:ind w:firstLine="68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Проработать вопрос о целесообразности включения в программу государственных гарантий бесплатного оказания гражданам медицинской помощи оказание медицинской помощи при синдроме зависимости от табака и синдроме отмены табака с учетом дефицита финансирования здравоохранения, в том числе льготного лекарственного обеспечения, медицинских организаций в сельской местности, лечения онкологических больных и так далее.</w:t>
      </w:r>
    </w:p>
    <w:p w:rsidR="00A11484" w:rsidRPr="007822C9" w:rsidRDefault="00A11484" w:rsidP="007822C9">
      <w:pPr>
        <w:numPr>
          <w:ilvl w:val="0"/>
          <w:numId w:val="4"/>
        </w:numPr>
        <w:tabs>
          <w:tab w:val="left" w:pos="1011"/>
        </w:tabs>
        <w:spacing w:after="0" w:line="240" w:lineRule="auto"/>
        <w:ind w:firstLine="68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Раздел V. Меры, направленные на защиту государственной политики противодействия потреблению табака, дополнить пунктом:</w:t>
      </w:r>
    </w:p>
    <w:p w:rsidR="00A11484" w:rsidRPr="007822C9" w:rsidRDefault="00A11484" w:rsidP="007822C9">
      <w:pPr>
        <w:tabs>
          <w:tab w:val="left" w:pos="882"/>
        </w:tabs>
        <w:spacing w:after="0" w:line="240" w:lineRule="auto"/>
        <w:ind w:firstLine="67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-</w:t>
      </w:r>
      <w:r w:rsidRPr="007822C9">
        <w:rPr>
          <w:rFonts w:ascii="Times New Roman" w:hAnsi="Times New Roman"/>
          <w:sz w:val="26"/>
          <w:szCs w:val="26"/>
        </w:rPr>
        <w:tab/>
        <w:t>введение запрета на участие представителей органов государственной власти в мероприятиях, организуемых общественными организациями, получающими финансовую помощь от табачных организаций.</w:t>
      </w:r>
    </w:p>
    <w:p w:rsidR="00A11484" w:rsidRPr="007822C9" w:rsidRDefault="00A11484" w:rsidP="007822C9">
      <w:pPr>
        <w:tabs>
          <w:tab w:val="left" w:pos="1011"/>
        </w:tabs>
        <w:spacing w:after="0" w:line="240" w:lineRule="auto"/>
        <w:ind w:firstLine="68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5.</w:t>
      </w:r>
      <w:r w:rsidRPr="007822C9">
        <w:rPr>
          <w:rFonts w:ascii="Times New Roman" w:hAnsi="Times New Roman"/>
          <w:sz w:val="26"/>
          <w:szCs w:val="26"/>
        </w:rPr>
        <w:tab/>
        <w:t>Подраздел «Организация оказания населению медицинской помощи</w:t>
      </w:r>
      <w:r w:rsidRPr="007822C9">
        <w:rPr>
          <w:rFonts w:ascii="Times New Roman" w:hAnsi="Times New Roman"/>
          <w:sz w:val="26"/>
          <w:szCs w:val="26"/>
        </w:rPr>
        <w:br/>
        <w:t>при синдроме зависимости от табака и синдроме отмены табака» раздела</w:t>
      </w:r>
      <w:r w:rsidRPr="007822C9">
        <w:rPr>
          <w:rFonts w:ascii="Times New Roman" w:hAnsi="Times New Roman"/>
          <w:sz w:val="26"/>
          <w:szCs w:val="26"/>
        </w:rPr>
        <w:br/>
        <w:t>VI. Меры, направленные на снижение потребления табака, дополнить пунктом:</w:t>
      </w:r>
    </w:p>
    <w:p w:rsidR="00A11484" w:rsidRPr="007822C9" w:rsidRDefault="00A11484" w:rsidP="007822C9">
      <w:pPr>
        <w:tabs>
          <w:tab w:val="left" w:pos="968"/>
        </w:tabs>
        <w:spacing w:after="0" w:line="240" w:lineRule="auto"/>
        <w:ind w:firstLine="687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-</w:t>
      </w:r>
      <w:r w:rsidRPr="007822C9">
        <w:rPr>
          <w:rFonts w:ascii="Times New Roman" w:hAnsi="Times New Roman"/>
          <w:sz w:val="26"/>
          <w:szCs w:val="26"/>
        </w:rPr>
        <w:tab/>
        <w:t>разработка и утверждение на территории Российской Федерации порядка оказания медицинской помощи и стандарта медицинской помощи при синдроме зависимости от табака и синдроме отмены табака в медицинских организациях различного профиля (первичная медико-санитарная помощь, специализированная медицинская помощь) для различных категорий пациентов с никотиновой зависимостью.</w:t>
      </w:r>
    </w:p>
    <w:p w:rsidR="00A11484" w:rsidRPr="007822C9" w:rsidRDefault="00A11484" w:rsidP="007822C9">
      <w:pPr>
        <w:spacing w:after="0" w:line="240" w:lineRule="auto"/>
        <w:ind w:left="682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6. Пункт раздела VIII. Механизмы реализации Концепции:</w:t>
      </w:r>
    </w:p>
    <w:p w:rsidR="00A11484" w:rsidRPr="007822C9" w:rsidRDefault="00A11484" w:rsidP="007822C9">
      <w:pPr>
        <w:tabs>
          <w:tab w:val="left" w:pos="844"/>
        </w:tabs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-</w:t>
      </w:r>
      <w:r w:rsidRPr="007822C9">
        <w:rPr>
          <w:rFonts w:ascii="Times New Roman" w:hAnsi="Times New Roman"/>
          <w:sz w:val="26"/>
          <w:szCs w:val="26"/>
        </w:rPr>
        <w:tab/>
        <w:t>«На региональном уровне управление, координация и контроль за ходом выполнения мероприятий по реализации Концепции осуществляются органами управления здравоохранением в субъектах Российской Федерации, при которых действуют региональные координационные советы по борьбе против потребления табака в соответствии с законодательством субъектов Российской Федерации»</w:t>
      </w:r>
    </w:p>
    <w:p w:rsidR="00A11484" w:rsidRPr="007822C9" w:rsidRDefault="00A11484" w:rsidP="007822C9">
      <w:pPr>
        <w:spacing w:after="0" w:line="240" w:lineRule="auto"/>
        <w:ind w:left="691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11484" w:rsidRPr="007822C9" w:rsidRDefault="00A11484" w:rsidP="007822C9">
      <w:pPr>
        <w:tabs>
          <w:tab w:val="left" w:pos="844"/>
        </w:tabs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-</w:t>
      </w:r>
      <w:r w:rsidRPr="007822C9">
        <w:rPr>
          <w:rFonts w:ascii="Times New Roman" w:hAnsi="Times New Roman"/>
          <w:sz w:val="26"/>
          <w:szCs w:val="26"/>
        </w:rPr>
        <w:tab/>
        <w:t>«На региональном уровне управление, координация и контроль за ходом выполнения мероприятий по реализации Концепции осуществляются высшим исполнительным органом государственной власти субъекта Российской Федерации, при которых действуют региональные координационные советы по борьбе против потребления табака в соответствии с законодательством субъектов Российской Федерации».</w:t>
      </w:r>
    </w:p>
    <w:p w:rsidR="00A11484" w:rsidRPr="007822C9" w:rsidRDefault="00A11484" w:rsidP="007822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484" w:rsidRPr="007822C9" w:rsidRDefault="00A11484" w:rsidP="00782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b/>
          <w:bCs/>
          <w:sz w:val="26"/>
          <w:szCs w:val="26"/>
        </w:rPr>
        <w:t>Федеральному государственному бюджетному научному учреждению «Национальный научно-исследовательский институт общественного здоровья имени Н.А. Семашко»</w:t>
      </w:r>
    </w:p>
    <w:p w:rsidR="00A11484" w:rsidRPr="007822C9" w:rsidRDefault="00A11484" w:rsidP="007822C9">
      <w:pPr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sz w:val="26"/>
          <w:szCs w:val="26"/>
        </w:rPr>
        <w:t>Рассмотреть вопрос проведения исследований с целью оценки экономического бремени табакокурения на территории Российской Федерации.</w:t>
      </w:r>
    </w:p>
    <w:p w:rsidR="00A11484" w:rsidRPr="007822C9" w:rsidRDefault="00A11484" w:rsidP="00782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2C9">
        <w:rPr>
          <w:rFonts w:ascii="Times New Roman" w:hAnsi="Times New Roman"/>
          <w:b/>
          <w:bCs/>
          <w:sz w:val="26"/>
          <w:szCs w:val="26"/>
        </w:rPr>
        <w:t>Председатель КомитетаД.А.Морозов</w:t>
      </w:r>
    </w:p>
    <w:sectPr w:rsidR="00A11484" w:rsidRPr="007822C9" w:rsidSect="007822C9">
      <w:headerReference w:type="even" r:id="rId7"/>
      <w:headerReference w:type="default" r:id="rId8"/>
      <w:pgSz w:w="11997" w:h="1688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84" w:rsidRDefault="00A11484">
      <w:pPr>
        <w:spacing w:after="0" w:line="240" w:lineRule="auto"/>
      </w:pPr>
      <w:r>
        <w:separator/>
      </w:r>
    </w:p>
  </w:endnote>
  <w:endnote w:type="continuationSeparator" w:id="1">
    <w:p w:rsidR="00A11484" w:rsidRDefault="00A1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84" w:rsidRDefault="00A11484">
      <w:pPr>
        <w:spacing w:after="0" w:line="240" w:lineRule="auto"/>
      </w:pPr>
      <w:r>
        <w:separator/>
      </w:r>
    </w:p>
  </w:footnote>
  <w:footnote w:type="continuationSeparator" w:id="1">
    <w:p w:rsidR="00A11484" w:rsidRDefault="00A1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84" w:rsidRDefault="00A11484">
    <w:pPr>
      <w:pStyle w:val="Style0"/>
      <w:spacing w:line="240" w:lineRule="auto"/>
      <w:ind w:left="4689" w:right="45"/>
      <w:jc w:val="both"/>
      <w:rPr>
        <w:sz w:val="22"/>
        <w:szCs w:val="22"/>
      </w:rPr>
    </w:pPr>
    <w:r>
      <w:rPr>
        <w:rStyle w:val="CharStyle0"/>
      </w:rPr>
      <w:fldChar w:fldCharType="begin"/>
    </w:r>
    <w:r>
      <w:rPr>
        <w:rStyle w:val="CharStyle0"/>
      </w:rPr>
      <w:instrText>PAGE</w:instrText>
    </w:r>
    <w:r>
      <w:rPr>
        <w:rStyle w:val="CharStyle0"/>
      </w:rPr>
      <w:fldChar w:fldCharType="separate"/>
    </w:r>
    <w:r>
      <w:rPr>
        <w:rStyle w:val="CharStyle0"/>
      </w:rPr>
      <w:t>2</w:t>
    </w:r>
    <w:r>
      <w:rPr>
        <w:rStyle w:val="CharStyle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84" w:rsidRDefault="00A11484">
    <w:pPr>
      <w:pStyle w:val="Style0"/>
      <w:spacing w:line="240" w:lineRule="auto"/>
      <w:ind w:left="4689" w:right="45"/>
      <w:jc w:val="both"/>
      <w:rPr>
        <w:sz w:val="22"/>
        <w:szCs w:val="22"/>
      </w:rPr>
    </w:pPr>
    <w:r>
      <w:rPr>
        <w:rStyle w:val="CharStyle0"/>
      </w:rPr>
      <w:fldChar w:fldCharType="begin"/>
    </w:r>
    <w:r>
      <w:rPr>
        <w:rStyle w:val="CharStyle0"/>
      </w:rPr>
      <w:instrText>PAGE</w:instrText>
    </w:r>
    <w:r>
      <w:rPr>
        <w:rStyle w:val="CharStyle0"/>
      </w:rPr>
      <w:fldChar w:fldCharType="separate"/>
    </w:r>
    <w:r>
      <w:rPr>
        <w:rStyle w:val="CharStyle0"/>
        <w:noProof/>
      </w:rPr>
      <w:t>1</w:t>
    </w:r>
    <w:r>
      <w:rPr>
        <w:rStyle w:val="CharStyle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416"/>
    <w:multiLevelType w:val="singleLevel"/>
    <w:tmpl w:val="49B2BAC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66D000C8"/>
    <w:multiLevelType w:val="singleLevel"/>
    <w:tmpl w:val="72349920"/>
    <w:lvl w:ilvl="0">
      <w:start w:val="10"/>
      <w:numFmt w:val="decimal"/>
      <w:lvlText w:val="%1."/>
      <w:lvlJc w:val="left"/>
      <w:rPr>
        <w:rFonts w:cs="Times New Roman"/>
      </w:rPr>
    </w:lvl>
  </w:abstractNum>
  <w:abstractNum w:abstractNumId="2">
    <w:nsid w:val="68026DC7"/>
    <w:multiLevelType w:val="singleLevel"/>
    <w:tmpl w:val="9A96DFD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">
    <w:nsid w:val="7A696D3F"/>
    <w:multiLevelType w:val="singleLevel"/>
    <w:tmpl w:val="C16257E2"/>
    <w:lvl w:ilvl="0">
      <w:start w:val="1"/>
      <w:numFmt w:val="decimal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076"/>
    <w:rsid w:val="004E536C"/>
    <w:rsid w:val="00557889"/>
    <w:rsid w:val="006A0B03"/>
    <w:rsid w:val="00746A16"/>
    <w:rsid w:val="00766B32"/>
    <w:rsid w:val="007822C9"/>
    <w:rsid w:val="008F1287"/>
    <w:rsid w:val="00990076"/>
    <w:rsid w:val="00A11484"/>
    <w:rsid w:val="00A37381"/>
    <w:rsid w:val="00AA000B"/>
    <w:rsid w:val="00E8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uiPriority w:val="99"/>
    <w:rsid w:val="00AA000B"/>
    <w:pPr>
      <w:spacing w:after="0" w:line="291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AA00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Normal"/>
    <w:uiPriority w:val="99"/>
    <w:rsid w:val="00AA000B"/>
    <w:pPr>
      <w:spacing w:after="0" w:line="329" w:lineRule="exact"/>
      <w:ind w:firstLine="687"/>
      <w:jc w:val="both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AA000B"/>
    <w:pPr>
      <w:spacing w:after="0" w:line="591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AA000B"/>
    <w:pPr>
      <w:spacing w:after="0" w:line="327" w:lineRule="exact"/>
      <w:ind w:firstLine="887"/>
    </w:pPr>
    <w:rPr>
      <w:rFonts w:ascii="Times New Roman" w:hAnsi="Times New Roman"/>
      <w:sz w:val="20"/>
      <w:szCs w:val="20"/>
    </w:rPr>
  </w:style>
  <w:style w:type="paragraph" w:customStyle="1" w:styleId="Style10">
    <w:name w:val="Style10"/>
    <w:basedOn w:val="Normal"/>
    <w:uiPriority w:val="99"/>
    <w:rsid w:val="00AA000B"/>
    <w:pPr>
      <w:spacing w:after="0" w:line="330" w:lineRule="exact"/>
      <w:ind w:firstLine="672"/>
      <w:jc w:val="both"/>
    </w:pPr>
    <w:rPr>
      <w:rFonts w:ascii="Times New Roman" w:hAnsi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AA00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harStyle0">
    <w:name w:val="CharStyle0"/>
    <w:basedOn w:val="DefaultParagraphFont"/>
    <w:uiPriority w:val="99"/>
    <w:rsid w:val="00AA000B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CharStyle2">
    <w:name w:val="CharStyle2"/>
    <w:basedOn w:val="DefaultParagraphFont"/>
    <w:uiPriority w:val="99"/>
    <w:rsid w:val="00AA000B"/>
    <w:rPr>
      <w:rFonts w:ascii="Times New Roman" w:hAnsi="Times New Roman" w:cs="Times New Roman"/>
      <w:b/>
      <w:bCs/>
      <w:sz w:val="18"/>
      <w:szCs w:val="18"/>
    </w:rPr>
  </w:style>
  <w:style w:type="character" w:customStyle="1" w:styleId="CharStyle7">
    <w:name w:val="CharStyle7"/>
    <w:basedOn w:val="DefaultParagraphFont"/>
    <w:uiPriority w:val="99"/>
    <w:rsid w:val="00AA000B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8">
    <w:name w:val="CharStyle8"/>
    <w:basedOn w:val="DefaultParagraphFont"/>
    <w:uiPriority w:val="99"/>
    <w:rsid w:val="00AA000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1620</Words>
  <Characters>9239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p2_</cp:lastModifiedBy>
  <cp:revision>3</cp:revision>
  <dcterms:created xsi:type="dcterms:W3CDTF">2017-05-13T06:35:00Z</dcterms:created>
  <dcterms:modified xsi:type="dcterms:W3CDTF">2017-05-16T09:23:00Z</dcterms:modified>
</cp:coreProperties>
</file>